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A" w:rsidRDefault="00E93C5E" w:rsidP="00F3679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93C5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2.55pt;margin-top:49.45pt;width:512.15pt;height:7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style="mso-next-textbox:#Pole tekstowe 1" inset="0,0,0,0">
              <w:txbxContent>
                <w:p w:rsidR="00F3679A" w:rsidRDefault="00625C4E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color w:val="6E9A43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36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 należy wypełnić i przesłać do końca tygodnia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539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(</w:t>
                  </w:r>
                  <w:r w:rsidR="000539C9" w:rsidRPr="000539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do </w:t>
                  </w:r>
                  <w:r w:rsidRPr="000539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8 maja)</w:t>
                  </w:r>
                  <w:r w:rsidR="00F36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e-maila: </w:t>
                  </w:r>
                  <w:hyperlink r:id="rId7" w:history="1">
                    <w:r w:rsidR="00F3679A">
                      <w:rPr>
                        <w:rStyle w:val="Hipercze"/>
                        <w:rFonts w:ascii="Times New Roman" w:hAnsi="Times New Roman" w:cs="Times New Roman"/>
                        <w:sz w:val="24"/>
                        <w:szCs w:val="24"/>
                      </w:rPr>
                      <w:t>karwackabasia@wp.pl</w:t>
                    </w:r>
                  </w:hyperlink>
                </w:p>
                <w:p w:rsidR="00725A44" w:rsidRPr="005B67D2" w:rsidRDefault="00882FD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36"/>
                      <w:szCs w:val="36"/>
                    </w:rPr>
                  </w:pPr>
                  <w:r w:rsidRPr="005B67D2">
                    <w:rPr>
                      <w:rFonts w:ascii="CentSchbookEU-BoldItalic" w:hAnsi="CentSchbookEU-BoldItalic"/>
                      <w:b/>
                      <w:i/>
                      <w:color w:val="6E9A43"/>
                      <w:sz w:val="36"/>
                      <w:szCs w:val="36"/>
                    </w:rPr>
                    <w:t>Tkanki i organy roślinne</w:t>
                  </w:r>
                  <w:r w:rsidR="005B67D2">
                    <w:rPr>
                      <w:rFonts w:ascii="CentSchbookEU-BoldItalic" w:hAnsi="CentSchbookEU-BoldItalic"/>
                      <w:b/>
                      <w:i/>
                      <w:color w:val="6E9A43"/>
                      <w:sz w:val="36"/>
                      <w:szCs w:val="36"/>
                    </w:rPr>
                    <w:t xml:space="preserve"> 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882FD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V</w:t>
                  </w:r>
                  <w:r w:rsidR="005B67D2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 xml:space="preserve">                    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F36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25A44" w:rsidRDefault="00725A44"/>
    <w:p w:rsidR="00105736" w:rsidRDefault="005B67D2" w:rsidP="005B67D2">
      <w:pPr>
        <w:tabs>
          <w:tab w:val="left" w:pos="5798"/>
        </w:tabs>
      </w:pPr>
      <w:r>
        <w:t xml:space="preserve">                                                                                   Imię i nazwisko: ……………………………………</w:t>
      </w:r>
    </w:p>
    <w:p w:rsidR="00725A44" w:rsidRDefault="00725A44" w:rsidP="00725A44"/>
    <w:p w:rsidR="00F35676" w:rsidRDefault="00F35676" w:rsidP="005B67D2">
      <w:pPr>
        <w:pStyle w:val="Tekstpodstawowy"/>
        <w:spacing w:before="13"/>
        <w:ind w:left="0"/>
        <w:rPr>
          <w:rFonts w:asciiTheme="minorHAnsi" w:hAnsiTheme="minorHAnsi" w:cstheme="minorHAnsi"/>
          <w:sz w:val="22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  <w:r w:rsidR="000539C9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E93C5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left:0;text-align:left;z-index:2517585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E93C5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6" style="position:absolute;left:0;text-align:left;z-index:251770880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E93C5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7" style="position:absolute;left:0;text-align:left;z-index:251771904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7E757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E93C5E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8" style="position:absolute;z-index:251773952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E93C5E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9" style="position:absolute;z-index:251774976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E93C5E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50" style="position:absolute;z-index:251776000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Rozpoznaj rodzaj systemu korzeniowego przedstawionego na ilustracji 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E93C5E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51" style="position:absolute;z-index:251778048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7020C6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-494665</wp:posOffset>
            </wp:positionV>
            <wp:extent cx="847090" cy="2027555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 w:rsidR="006A5EE0"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6A5EE0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7020C6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37E2A" w:rsidRPr="006A5EE0" w:rsidRDefault="007E7576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  <w:r>
        <w:rPr>
          <w:rFonts w:asciiTheme="minorHAnsi" w:hAnsiTheme="minorHAnsi" w:cstheme="minorHAnsi"/>
          <w:i/>
          <w:sz w:val="24"/>
          <w:szCs w:val="24"/>
        </w:rPr>
        <w:t>, łodyga</w:t>
      </w:r>
    </w:p>
    <w:p w:rsidR="006A5EE0" w:rsidRDefault="007020C6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8E06E4" w:rsidRPr="008E06E4" w:rsidRDefault="008E06E4" w:rsidP="00D755B4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</w:t>
      </w:r>
      <w:r w:rsidRPr="008E06E4">
        <w:rPr>
          <w:rFonts w:asciiTheme="minorHAnsi" w:hAnsiTheme="minorHAnsi" w:cstheme="minorHAnsi"/>
          <w:i/>
          <w:color w:val="FF0000"/>
        </w:rPr>
        <w:t>Maksymalna ilość punktów - 26</w:t>
      </w:r>
    </w:p>
    <w:sectPr w:rsidR="008E06E4" w:rsidRPr="008E06E4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52" w:rsidRDefault="00926352" w:rsidP="005B67D2">
      <w:r>
        <w:separator/>
      </w:r>
    </w:p>
  </w:endnote>
  <w:endnote w:type="continuationSeparator" w:id="1">
    <w:p w:rsidR="00926352" w:rsidRDefault="00926352" w:rsidP="005B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Malgun Gothic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52" w:rsidRDefault="00926352" w:rsidP="005B67D2">
      <w:r>
        <w:separator/>
      </w:r>
    </w:p>
  </w:footnote>
  <w:footnote w:type="continuationSeparator" w:id="1">
    <w:p w:rsidR="00926352" w:rsidRDefault="00926352" w:rsidP="005B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FF8"/>
    <w:rsid w:val="000539C9"/>
    <w:rsid w:val="000F6FF8"/>
    <w:rsid w:val="001019BC"/>
    <w:rsid w:val="00105736"/>
    <w:rsid w:val="00182E6A"/>
    <w:rsid w:val="001E31F9"/>
    <w:rsid w:val="001E586F"/>
    <w:rsid w:val="002261DE"/>
    <w:rsid w:val="0051685B"/>
    <w:rsid w:val="00566A34"/>
    <w:rsid w:val="00597D3D"/>
    <w:rsid w:val="005B3380"/>
    <w:rsid w:val="005B67D2"/>
    <w:rsid w:val="005C4CD1"/>
    <w:rsid w:val="00625C4E"/>
    <w:rsid w:val="00653A1C"/>
    <w:rsid w:val="006A5EE0"/>
    <w:rsid w:val="006F3047"/>
    <w:rsid w:val="007020C6"/>
    <w:rsid w:val="00725A44"/>
    <w:rsid w:val="00782EC2"/>
    <w:rsid w:val="007E7576"/>
    <w:rsid w:val="007F6FE1"/>
    <w:rsid w:val="00882FD6"/>
    <w:rsid w:val="008E06E4"/>
    <w:rsid w:val="008F0486"/>
    <w:rsid w:val="008F6DD2"/>
    <w:rsid w:val="00900664"/>
    <w:rsid w:val="0092635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B152A"/>
    <w:rsid w:val="00DE1424"/>
    <w:rsid w:val="00E93C5E"/>
    <w:rsid w:val="00ED7489"/>
    <w:rsid w:val="00ED774D"/>
    <w:rsid w:val="00EE643A"/>
    <w:rsid w:val="00EF0652"/>
    <w:rsid w:val="00F12296"/>
    <w:rsid w:val="00F35676"/>
    <w:rsid w:val="00F3679A"/>
    <w:rsid w:val="00FA2649"/>
    <w:rsid w:val="00FA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7D2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5B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7D2"/>
    <w:rPr>
      <w:rFonts w:ascii="CentSchbookEU-Normal" w:eastAsia="CentSchbookEU-Normal" w:hAnsi="CentSchbookEU-Normal" w:cs="CentSchbookEU-Normal"/>
    </w:rPr>
  </w:style>
  <w:style w:type="character" w:styleId="Hipercze">
    <w:name w:val="Hyperlink"/>
    <w:basedOn w:val="Domylnaczcionkaakapitu"/>
    <w:uiPriority w:val="99"/>
    <w:semiHidden/>
    <w:unhideWhenUsed/>
    <w:rsid w:val="00F36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wackabasia@wp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pc</cp:lastModifiedBy>
  <cp:revision>2</cp:revision>
  <dcterms:created xsi:type="dcterms:W3CDTF">2020-05-03T18:57:00Z</dcterms:created>
  <dcterms:modified xsi:type="dcterms:W3CDTF">2020-05-03T18:57:00Z</dcterms:modified>
</cp:coreProperties>
</file>